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5812"/>
        <w:jc w:val="center"/>
        <w:rPr>
          <w:rFonts w:ascii="Quattrocento Sans" w:cs="Quattrocento Sans" w:eastAsia="Quattrocento Sans" w:hAnsi="Quattrocento Sans"/>
          <w:i w:val="1"/>
          <w:iCs w:val="1"/>
          <w:color w:val="333333"/>
          <w:sz w:val="21"/>
          <w:szCs w:val="21"/>
          <w:highlight w:val="white"/>
        </w:rPr>
      </w:pPr>
      <w:sdt>
        <w:sdtPr>
          <w:id w:val="-1449253631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333333"/>
              <w:sz w:val="21"/>
              <w:szCs w:val="21"/>
              <w:highlight w:val="white"/>
              <w:rtl w:val="0"/>
            </w:rPr>
            <w:t xml:space="preserve">Қазақстан Республикасының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5812"/>
        <w:jc w:val="center"/>
        <w:rPr>
          <w:rFonts w:ascii="Quattrocento Sans" w:cs="Quattrocento Sans" w:eastAsia="Quattrocento Sans" w:hAnsi="Quattrocento Sans"/>
          <w:i w:val="1"/>
          <w:iCs w:val="1"/>
          <w:color w:val="333333"/>
          <w:sz w:val="21"/>
          <w:szCs w:val="21"/>
          <w:highlight w:val="white"/>
        </w:rPr>
      </w:pPr>
      <w:sdt>
        <w:sdtPr>
          <w:id w:val="-1308016332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333333"/>
              <w:sz w:val="21"/>
              <w:szCs w:val="21"/>
              <w:highlight w:val="white"/>
              <w:rtl w:val="0"/>
            </w:rPr>
            <w:t xml:space="preserve">«Атамекен» Ұлттық </w:t>
          </w:r>
        </w:sdtContent>
      </w:sdt>
    </w:p>
    <w:p w:rsidR="00000000" w:rsidDel="00000000" w:rsidP="00000000" w:rsidRDefault="00000000" w:rsidRPr="00000000" w14:paraId="00000003">
      <w:pPr>
        <w:spacing w:after="0" w:line="240" w:lineRule="auto"/>
        <w:ind w:firstLine="5812"/>
        <w:jc w:val="center"/>
        <w:rPr>
          <w:rFonts w:ascii="Quattrocento Sans" w:cs="Quattrocento Sans" w:eastAsia="Quattrocento Sans" w:hAnsi="Quattrocento Sans"/>
          <w:i w:val="1"/>
          <w:iCs w:val="1"/>
          <w:color w:val="333333"/>
          <w:sz w:val="21"/>
          <w:szCs w:val="21"/>
          <w:highlight w:val="white"/>
        </w:rPr>
      </w:pPr>
      <w:sdt>
        <w:sdtPr>
          <w:id w:val="-1953622688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333333"/>
              <w:sz w:val="21"/>
              <w:szCs w:val="21"/>
              <w:highlight w:val="white"/>
              <w:rtl w:val="0"/>
            </w:rPr>
            <w:t xml:space="preserve">кәсіпкерлер палатасы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ind w:firstLine="5812"/>
        <w:jc w:val="center"/>
        <w:rPr>
          <w:rFonts w:ascii="Quattrocento Sans" w:cs="Quattrocento Sans" w:eastAsia="Quattrocento Sans" w:hAnsi="Quattrocento Sans"/>
          <w:i w:val="1"/>
          <w:iCs w:val="1"/>
          <w:color w:val="333333"/>
          <w:sz w:val="21"/>
          <w:szCs w:val="21"/>
          <w:highlight w:val="white"/>
        </w:rPr>
      </w:pPr>
      <w:sdt>
        <w:sdtPr>
          <w:id w:val="-748156843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333333"/>
              <w:sz w:val="21"/>
              <w:szCs w:val="21"/>
              <w:highlight w:val="white"/>
              <w:rtl w:val="0"/>
            </w:rPr>
            <w:t xml:space="preserve">Президиумының шешімімен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firstLine="5812"/>
        <w:jc w:val="center"/>
        <w:rPr>
          <w:rFonts w:ascii="Quattrocento Sans" w:cs="Quattrocento Sans" w:eastAsia="Quattrocento Sans" w:hAnsi="Quattrocento Sans"/>
          <w:i w:val="1"/>
          <w:iCs w:val="1"/>
          <w:color w:val="333333"/>
          <w:sz w:val="21"/>
          <w:szCs w:val="21"/>
          <w:highlight w:val="white"/>
        </w:rPr>
      </w:pPr>
      <w:sdt>
        <w:sdtPr>
          <w:id w:val="-2138515239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333333"/>
              <w:sz w:val="21"/>
              <w:szCs w:val="21"/>
              <w:highlight w:val="white"/>
              <w:rtl w:val="0"/>
            </w:rPr>
            <w:t xml:space="preserve">бекітілді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firstLine="5812"/>
        <w:jc w:val="center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hyperlink r:id="rId7">
        <w:r w:rsidDel="00000000" w:rsidR="00000000" w:rsidRPr="00000000">
          <w:rPr>
            <w:rFonts w:ascii="Quattrocento Sans" w:cs="Quattrocento Sans" w:eastAsia="Quattrocento Sans" w:hAnsi="Quattrocento Sans"/>
            <w:color w:val="2067b0"/>
            <w:sz w:val="21"/>
            <w:szCs w:val="21"/>
            <w:rtl w:val="0"/>
          </w:rPr>
          <w:t xml:space="preserve">2016 жылғы 30 қыркүйектегі № 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304138975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333333"/>
              <w:sz w:val="21"/>
              <w:szCs w:val="21"/>
              <w:rtl w:val="0"/>
            </w:rPr>
            <w:t xml:space="preserve">«АТАМЕКЕН» ҚАЗАҚСТАН РЕСПУБЛИКАСЫНЫҢ ҰЛТТЫҚ КӘСІПКЕРЛЕР ПАЛАТАСЫ КӨРСЕТЕТІН АҚЫЛЫ ҚЫЗМЕТТЕРДІҢ ТІЗІМІ МЕН ҚҰНЫ (ҚҚС-сыз)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  <w:sdt>
        <w:sdtPr>
          <w:id w:val="572610749"/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iCs w:val="1"/>
              <w:color w:val="ff0000"/>
              <w:sz w:val="21"/>
              <w:szCs w:val="21"/>
              <w:highlight w:val="white"/>
              <w:rtl w:val="0"/>
            </w:rPr>
            <w:t xml:space="preserve">14.08.2025 жылғы жағдай бойынша өзгерiстер мен толықтырулармен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b6b6b8" w:space="0" w:sz="6" w:val="single"/>
          <w:left w:color="b6b6b8" w:space="0" w:sz="6" w:val="single"/>
          <w:bottom w:color="b6b6b8" w:space="0" w:sz="6" w:val="single"/>
          <w:right w:color="b6b6b8" w:space="0" w:sz="6" w:val="single"/>
        </w:tblBorders>
        <w:tblLayout w:type="fixed"/>
        <w:tblLook w:val="0400"/>
      </w:tblPr>
      <w:tblGrid>
        <w:gridCol w:w="390"/>
        <w:gridCol w:w="3720"/>
        <w:gridCol w:w="1785"/>
        <w:gridCol w:w="3450"/>
        <w:tblGridChange w:id="0">
          <w:tblGrid>
            <w:gridCol w:w="390"/>
            <w:gridCol w:w="3720"/>
            <w:gridCol w:w="1785"/>
            <w:gridCol w:w="3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Ақылы қызмет түрлері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Қызметті көрсетуші (ҰКП жүйесіне кіретін заңды тұлға)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Қызмет құны</w:t>
            </w:r>
          </w:p>
          <w:p w:rsidR="00000000" w:rsidDel="00000000" w:rsidP="00000000" w:rsidRDefault="00000000" w:rsidRPr="00000000" w14:paraId="0000000E">
            <w:pPr>
              <w:spacing w:before="28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* дисконт мөлшері ҰКП жүйесіне кіретін заңды тұлғаның атқарушы органы шешімімен айқындалады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 Республикасының заңнамалық актілеріне сәйкес 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2067b0"/>
                  <w:sz w:val="24"/>
                  <w:szCs w:val="24"/>
                  <w:rtl w:val="0"/>
                </w:rPr>
                <w:t xml:space="preserve">арбитрада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дауларды қарау.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«ҚР Ұлттық кәсіпкерлер палатасының Арбитраж орталығы» жеке меншік мекемесі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«ҚР Ұлттық кәсіпкерлер палатасының Арбитраж орталығының» Басқарушы кеңесінің шешіміне сәйкес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Тауарлар, жұмыстар, қызметтер және оларды жеткізушілер базасынан ақпарат ұсыну.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"НСМО"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жазылым бойынша - 5 АЕК/ай.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 Республикасынан шығумен сауда-экономикалық миссияны ұйымдастыру.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3-тармақ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2067b0"/>
                  <w:sz w:val="24"/>
                  <w:szCs w:val="24"/>
                  <w:rtl w:val="0"/>
                </w:rPr>
                <w:t xml:space="preserve">ҚР ҰКП Президиумының 19.09.2024 ж. шешіміне сәйкес өзгертілді (№12 хаттама)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АЕК-тен бастап (міндетті мүшелік жарналарды төлеу бойынша берешегі жоқ субъектілерге немесе «Қазақстан Республикасының «Атамекен» Ұлттық кәсіпкерлер палатасы туралы» Заңының 29-бабы 2-тармағының 1) тармақшасында көрсетілген субъектілерге 50%-ға дейін дисконт*). Қызмет құнына шетелдегі шығыстар кірмейді.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Сыртқы экономикалық қызмет мәселелері бойынша ақпараттық, аудармашылық және консалтингтік қызметтер көрсету.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Аудармашылық қызметтер: Microsoft Word форматындағы А4 құжаттың 1 беті үшін – 3 АЕК (қаріп Times New Roman, кемінде 14) / Power Point бір слайды үшін; 2. Бір адамға визалық қолдау көрсету қызметі: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ҚР резиденттері үшін - 8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дисконт);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ҚР бейрезиденттері үшін - 15 АЕК.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Қызмет құнына визалық алымдар/консулдық шығыстар кірмейді; 3. Шетелдік компания туралы ақпарат ұсыну - 17 АЕК (жоғарыда көрсетілген субъектілер үшін 50% дисконт).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 Республикасында танылған сыртқы сауда мәмілелері мен халықаралық шарттардың, сондай-ақ сауда және порттық әдет-ғұрыптардың талаптарына сәйкес еңсерілмейтін күш мән-жайларын куәландыру.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5-тармақ ҚР ҰКП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2067b0"/>
                  <w:sz w:val="24"/>
                  <w:szCs w:val="24"/>
                  <w:rtl w:val="0"/>
                </w:rPr>
                <w:t xml:space="preserve">Президиумының 19.09.2024 ж. (№12 хаттама)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шешіміне сәйкес өзгертілді.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5-тармақ ҚР ҰКП Президиумының 14.08.2025 ж. (№8 хаттама) шешіміне сәйкес өзгертілді.</w:t>
              <w:br w:type="textWrapping"/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Құжаттарды құқықтық талдау үшін - 15 АЕК;</w:t>
              <w:br w:type="textWrapping"/>
              <w:t xml:space="preserve">2. еңсерілмейтін күш (форс-мажор) және «Hardship» мән-жайларын куәландыру үшін:</w:t>
              <w:br w:type="textWrapping"/>
              <w:t xml:space="preserve">1) мерзімі өткен міндеттеме сомасы 100 000 теңгеге дейін (қоса алғанда) болған жағдайда – куәландыру құны құқықтық талдау құнына кіреді;</w:t>
              <w:br w:type="textWrapping"/>
              <w:t xml:space="preserve">2) мерзімі өткен міндеттеме сомасы 100 000 теңгеден асқан жағдайда – шарт (келісімшарт) бойынша мерзімі өткен (орындалмаған) міндеттеме сомасының 1%;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3.Мүгедектігі бар адамдардың қоғамдық бірлестіктерінің, балалар-тәрбиеленушілердің құқықтары мен заңды мүдделерін қамтамасыз ету үшін құрылған коммерциялық емес ұйымдардың өтініштері бойынша құқықтық талдау және куәландыру өтеусіз негізде жүзеге асырылады.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 Республикасының халықаралық міндеттемелеріне сәйкес кепілгер ретінде шығу және уақытша әкелу туралы құжаттар беру.</w:t>
              <w:br w:type="textWrapping"/>
              <w:t xml:space="preserve">6-тармақ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2067b0"/>
                  <w:sz w:val="24"/>
                  <w:szCs w:val="24"/>
                  <w:rtl w:val="0"/>
                </w:rPr>
                <w:t xml:space="preserve">ҚР ҰКП Президиумының 19.09.2024 ж. шешіміне сәйкес өзгертілді (№12 хаттама)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Уақытша әкелу туралы бір сертификат үшін 60 АЕК.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Іс-шараға патронаж жасау.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Бір іс-шараның патронажы үшін 15 АЕК.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Семинарлар, конференциялар, дөңгелек үстелдер ұйымдастыру.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Семинарды, конференцияны немесе дөңгелек үстелді ұйымдастыру үшін – 190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дисконт*). Қызмет құнына үй-жайларды жалға алу шығыстары кірмейді.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Қазақстандық кәсіпорындарға баруды ұйымдастыру.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Бір қазақстандық кәсіпорынға баруды ұйымдастыру үшін – 15 АЕК. Қызмет құнына көлік пен тұру шығыстары кірмейді.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Нарықты зерттеу және өнімді ілгерілету бойынша маркетингтік қызметтер.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Құжаттарға құқықтық сараптама жүргізу, сондай-ақ шарттар, шарттарға қосымша келісімдер, келіспеушіліктер хаттамаларын жасау.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Бір құжатқа құқықтық сараптама – 15 АЕК(міндетті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дисконт);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Бір шартты/қосымша келісімді/келіспеушіліктер хаттамасын жасау – 15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Заңды тұлғаны, жеке кәсіпкерді тіркеу/қайта тіркеу үшін құжаттар пакетін дайындау.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Тауар таңбаларын тіркеуге жәрдем көрсету.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Бір тауар белгісін тіркеу үшін 55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Ұйымның жергілікті нормативтік актілерін және үлгілік (ішкі) құжаттарын әзірлеу.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Бір құжат үшін 15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Нақты тауарды әкелу және әкету шарттары туралы анықтамалар беру (СЭҚ ТН коды бойынша)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Тауардың СЭҚ ТН кодын және кедендік құнын анықтау бойынша кеңес беру қызметтері.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Қажет болған жағдайда және сыртқы экономикалық қызметке қатысушының сотта қорғауға жүгінуі кезінде тауардың СЭҚ ТН кодын және кедендік құнын айқындау бойынша қызметтер аясында құқықтық сүйемелдеу.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Сотта дауланатын соманың 10%-ы, бірақ 121 АЕК-тен кем емес.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Кедендік баждар мен салықтарды төлеуді қамтамасыз ету ретінде кепілдік шартына отыру.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АЕК.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Сыртқы экономикалық қызметке қатысушылардың кедендік баж мөлшерлемелерін қайта қарау жөніндегі ұсыныстары бойынша құжаттарды дайындау.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«ҚССП» ЖШС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Шетелдік кәсіпкерлер үшін Қазақстан Республикасында сауда-экономикалық миссияны ұйымдастыру.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Бір кәсіпорын үшін ұйымдастырушылық алымдар: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ЭЫДҰ-ға мүше елдерден келген шетелдік кәсіпкерлер үшін – 30 АЕК;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ЭЫДҰ-ға мүше емес елдерден келген шетелдік кәсіпкерлер үшін – 15 АЕК.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Қаржылық-экономикалық жағдайы олардың кәсіпкерлік қызметтегі серіктес ретіндегі сенімділік деңгейін айқындауға мүмкіндік беретін сыртқы экономикалық қызметке қатысушылар мен кәсіпкерлік субъектілерінің тізілімін жүргізу (көрсетілген тұлғалармен келісім бойынша).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ӨКП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20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 – внесение в реестр;</w:t>
            </w:r>
          </w:p>
          <w:p w:rsidR="00000000" w:rsidDel="00000000" w:rsidP="00000000" w:rsidRDefault="00000000" w:rsidRPr="00000000" w14:paraId="00000071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15 АЕК (міндетті мүшелік жарналар бойынша берешегі жоқ субъектілерге, сондай-ақ Заңның 29-бабы 2-тармағының 1) тармақшасында көрсетілген субъектілерге 50% дисконт*) – ведение реестра (ежегодно).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Тауардың шығу тегі туралы сертификат беру.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ӨКП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АЕК</w:t>
            </w:r>
          </w:p>
          <w:p w:rsidR="00000000" w:rsidDel="00000000" w:rsidP="00000000" w:rsidRDefault="00000000" w:rsidRPr="00000000" w14:paraId="00000076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Тауардың шығу тегі туралы сертификаттарды куәландыру және көшірмелеу құны:</w:t>
            </w:r>
          </w:p>
          <w:p w:rsidR="00000000" w:rsidDel="00000000" w:rsidP="00000000" w:rsidRDefault="00000000" w:rsidRPr="00000000" w14:paraId="00000077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сертификаттың бір бетінің көшірмесі мен куәландырылуы үшін – 200 теңге.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9.0" w:type="dxa"/>
        <w:jc w:val="left"/>
        <w:tblBorders>
          <w:top w:color="b6b6b8" w:space="0" w:sz="6" w:val="single"/>
          <w:left w:color="b6b6b8" w:space="0" w:sz="6" w:val="single"/>
          <w:bottom w:color="b6b6b8" w:space="0" w:sz="6" w:val="single"/>
          <w:right w:color="b6b6b8" w:space="0" w:sz="6" w:val="single"/>
        </w:tblBorders>
        <w:tblLayout w:type="fixed"/>
        <w:tblLook w:val="0400"/>
      </w:tblPr>
      <w:tblGrid>
        <w:gridCol w:w="390"/>
        <w:gridCol w:w="3713"/>
        <w:gridCol w:w="1843"/>
        <w:gridCol w:w="3393"/>
        <w:tblGridChange w:id="0">
          <w:tblGrid>
            <w:gridCol w:w="390"/>
            <w:gridCol w:w="3713"/>
            <w:gridCol w:w="1843"/>
            <w:gridCol w:w="33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“Бастау Бизнес” жобасы шеңберінде кәсіпкерлік негіздеріне оқыту қызметтері.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ҰКП, ӨКП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Жобаның бір тыңдаушысын ұстауға (кемінде 30 000 тыңдаушы оқытылған жағдайда):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қашықтан оқыту кезінде – 52 510 теңге;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күндізгі оқыту кезінде – 76 537 теңге.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8.0" w:type="dxa"/>
        <w:jc w:val="left"/>
        <w:tblBorders>
          <w:top w:color="b6b6b8" w:space="0" w:sz="6" w:val="single"/>
          <w:left w:color="b6b6b8" w:space="0" w:sz="6" w:val="single"/>
          <w:bottom w:color="b6b6b8" w:space="0" w:sz="6" w:val="single"/>
          <w:right w:color="b6b6b8" w:space="0" w:sz="6" w:val="single"/>
        </w:tblBorders>
        <w:tblLayout w:type="fixed"/>
        <w:tblLook w:val="0400"/>
      </w:tblPr>
      <w:tblGrid>
        <w:gridCol w:w="390"/>
        <w:gridCol w:w="3713"/>
        <w:gridCol w:w="1840"/>
        <w:gridCol w:w="3405"/>
        <w:tblGridChange w:id="0">
          <w:tblGrid>
            <w:gridCol w:w="390"/>
            <w:gridCol w:w="3713"/>
            <w:gridCol w:w="1840"/>
            <w:gridCol w:w="34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Экспорттаушыларды тауар әкелу елдерінің ақпараттық жүйелерінде тіркеу немесе экспорттаушылардың тіркеу деректеріне (тауарлар тізбесі бөлігінде) өзгерістер енгізу.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ӨКП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АЕК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9.0" w:type="dxa"/>
        <w:jc w:val="left"/>
        <w:tblBorders>
          <w:top w:color="b6b6b8" w:space="0" w:sz="6" w:val="single"/>
          <w:left w:color="b6b6b8" w:space="0" w:sz="6" w:val="single"/>
          <w:bottom w:color="b6b6b8" w:space="0" w:sz="6" w:val="single"/>
          <w:right w:color="b6b6b8" w:space="0" w:sz="6" w:val="single"/>
        </w:tblBorders>
        <w:tblLayout w:type="fixed"/>
        <w:tblLook w:val="0400"/>
      </w:tblPr>
      <w:tblGrid>
        <w:gridCol w:w="390"/>
        <w:gridCol w:w="3713"/>
        <w:gridCol w:w="1843"/>
        <w:gridCol w:w="3393"/>
        <w:tblGridChange w:id="0">
          <w:tblGrid>
            <w:gridCol w:w="390"/>
            <w:gridCol w:w="3713"/>
            <w:gridCol w:w="1843"/>
            <w:gridCol w:w="33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Бизнес-серіктестер тізілімі базасындағы қызметтер және оларды отандық және шетелдік кәсіпкерлік субъектілеріне, мемлекеттік органдарға және өзге де тұлғаларға ұсыну тәртібі.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ҰКП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1)Авторизацияланған пайдаланушылар үшін кеңейтілген KYC есебі (Know Your Customer) – 31.05.2022 ж. дейінгі пилоттық кезеңде 300 теңге, 01.06.2022 ж. бастап – 1000 теңге. Трансферагенттер үшін комиссиялық сыйақы – 20%-ға дейін; 2)Кеңейтілген KYC PRO есебі – 31.05.2022 ж. дейін 500 теңге, 01.06.2022 ж. бастап – 1500 теңге. Комиссия – 20%-ға дейін; 3)API СТК (салық төлеушінің адалдық индексі)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(шарт үшін)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300 теңге,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(транзакция үшін)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 теңге. Комиссия – 20%-ға дейін; 4)Қаржылық тұрақтылық индексі – 500 теңге, Комиссия – 20%-ға дейін; 5)Төлем тәртібі индексі – 500 теңге, Комиссия – 20%-ға дейін; 6)Іскерлік бедел индексі – 500 теңге, Комиссия – 20%-ға дейін; 7)Atameken Business Information Services ABIS жиынтық скорингтік индексі – 1000 теңге. Комиссия – 20%-ға дейін.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9.0" w:type="dxa"/>
        <w:jc w:val="left"/>
        <w:tblBorders>
          <w:top w:color="b6b6b8" w:space="0" w:sz="6" w:val="single"/>
          <w:left w:color="b6b6b8" w:space="0" w:sz="6" w:val="single"/>
          <w:bottom w:color="b6b6b8" w:space="0" w:sz="6" w:val="single"/>
          <w:right w:color="b6b6b8" w:space="0" w:sz="6" w:val="single"/>
        </w:tblBorders>
        <w:tblLayout w:type="fixed"/>
        <w:tblLook w:val="0400"/>
      </w:tblPr>
      <w:tblGrid>
        <w:gridCol w:w="418"/>
        <w:gridCol w:w="3685"/>
        <w:gridCol w:w="1843"/>
        <w:gridCol w:w="3393"/>
        <w:tblGridChange w:id="0">
          <w:tblGrid>
            <w:gridCol w:w="418"/>
            <w:gridCol w:w="3685"/>
            <w:gridCol w:w="1843"/>
            <w:gridCol w:w="33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Астана және Шымкент қалаларының, Ақмола, Шығыс Қазақстан және Қарағанды облыстарының Кәсіпкерлер палаталары көрсететін ақылы қызметтердің тізбесі мен құны («Қызметтерді ішінара коммерцияландыру» пилоттық жобасы шеңберінде).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ӨКП</w:t>
            </w:r>
          </w:p>
        </w:tc>
        <w:tc>
          <w:tcPr>
            <w:tcBorders>
              <w:top w:color="b6b6b8" w:space="0" w:sz="6" w:val="single"/>
              <w:left w:color="b6b6b8" w:space="0" w:sz="6" w:val="single"/>
              <w:bottom w:color="b6b6b8" w:space="0" w:sz="6" w:val="single"/>
              <w:right w:color="b6b6b8" w:space="0" w:sz="6" w:val="single"/>
            </w:tcBorders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Қазақстан Республикасының «Атамекен» Ұлттық кәсіпкерлер палатасы көрсететін ақылы қызметтердің тізбесі мен құнына 2-қосымшаға сәйкес (ҚҚС-сыз).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</w:tr>
    </w:tbl>
    <w:p w:rsidR="00000000" w:rsidDel="00000000" w:rsidP="00000000" w:rsidRDefault="00000000" w:rsidRPr="00000000" w14:paraId="0000008F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-1007149107"/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22-тармағы ҚР ҰКП Президиумының</w:t>
          </w:r>
        </w:sdtContent>
      </w:sdt>
      <w:hyperlink r:id="rId12">
        <w:r w:rsidDel="00000000" w:rsidR="00000000" w:rsidRPr="00000000">
          <w:rPr>
            <w:rFonts w:ascii="Quattrocento Sans" w:cs="Quattrocento Sans" w:eastAsia="Quattrocento Sans" w:hAnsi="Quattrocento Sans"/>
            <w:color w:val="2067b0"/>
            <w:sz w:val="21"/>
            <w:szCs w:val="21"/>
            <w:rtl w:val="0"/>
          </w:rPr>
          <w:t xml:space="preserve"> 11.12.2019 ж. №27</w:t>
        </w:r>
      </w:hyperlink>
      <w:sdt>
        <w:sdtPr>
          <w:id w:val="690184707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шешіміне сәйкес баяндалды.</w:t>
          </w:r>
        </w:sdtContent>
      </w:sdt>
    </w:p>
    <w:p w:rsidR="00000000" w:rsidDel="00000000" w:rsidP="00000000" w:rsidRDefault="00000000" w:rsidRPr="00000000" w14:paraId="00000090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588077410"/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23-тармағы ҚР ҰКП Президиумының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 </w:t>
      </w:r>
      <w:hyperlink r:id="rId13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02.03.2021 ж. №2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 </w:t>
      </w:r>
      <w:sdt>
        <w:sdtPr>
          <w:id w:val="565741316"/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шешіміне сәйкес баяндалды.</w:t>
          </w:r>
        </w:sdtContent>
      </w:sdt>
    </w:p>
    <w:p w:rsidR="00000000" w:rsidDel="00000000" w:rsidP="00000000" w:rsidRDefault="00000000" w:rsidRPr="00000000" w14:paraId="00000091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1530393530"/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24-тармағы ҚР ҰКП Президиумының </w:t>
          </w:r>
        </w:sdtContent>
      </w:sdt>
      <w:hyperlink r:id="rId14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27,04.2021 ж. №4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 </w:t>
      </w:r>
      <w:sdt>
        <w:sdtPr>
          <w:id w:val="-1567312498"/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шешіміне сәйкес баяндалды.</w:t>
          </w:r>
        </w:sdtContent>
      </w:sdt>
    </w:p>
    <w:p w:rsidR="00000000" w:rsidDel="00000000" w:rsidP="00000000" w:rsidRDefault="00000000" w:rsidRPr="00000000" w14:paraId="00000092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-1161685243"/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25-тармағы ҚР ҰКП Президиумының </w:t>
          </w:r>
        </w:sdtContent>
      </w:sdt>
      <w:hyperlink r:id="rId15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09.03.2022 ж. №7 </w:t>
        </w:r>
      </w:hyperlink>
      <w:sdt>
        <w:sdtPr>
          <w:id w:val="-2147103691"/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шешіміне сәйкес баяндалды.</w:t>
          </w:r>
        </w:sdtContent>
      </w:sdt>
    </w:p>
    <w:p w:rsidR="00000000" w:rsidDel="00000000" w:rsidP="00000000" w:rsidRDefault="00000000" w:rsidRPr="00000000" w14:paraId="00000093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-1458106234"/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атауы ҚР ҰКП Президиумының </w:t>
          </w:r>
        </w:sdtContent>
      </w:sdt>
      <w:hyperlink r:id="rId16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 19.03.2018 ж. №4</w:t>
        </w:r>
      </w:hyperlink>
      <w:sdt>
        <w:sdtPr>
          <w:id w:val="263302680"/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шешіміне сәйкес жаңа редакцияда баяндалды.</w:t>
          </w:r>
        </w:sdtContent>
      </w:sdt>
    </w:p>
    <w:p w:rsidR="00000000" w:rsidDel="00000000" w:rsidP="00000000" w:rsidRDefault="00000000" w:rsidRPr="00000000" w14:paraId="00000094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1577509635"/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22-тармағы ҚР ҰКП Президиумының </w:t>
          </w:r>
        </w:sdtContent>
      </w:sdt>
      <w:hyperlink r:id="rId17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07.08.2023 ж. №9</w:t>
        </w:r>
      </w:hyperlink>
      <w:sdt>
        <w:sdtPr>
          <w:id w:val="344104269"/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шешіміне сәйкес баяндалды.</w:t>
          </w:r>
        </w:sdtContent>
      </w:sdt>
    </w:p>
    <w:p w:rsidR="00000000" w:rsidDel="00000000" w:rsidP="00000000" w:rsidRDefault="00000000" w:rsidRPr="00000000" w14:paraId="00000095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-89237688"/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24-тармағы ҚР ҰКП Президиумының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 </w:t>
      </w:r>
      <w:hyperlink r:id="rId18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07.08.2023  ж. №9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 </w:t>
      </w:r>
      <w:sdt>
        <w:sdtPr>
          <w:id w:val="2079971780"/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шешіміне сәйкес баяндалды.</w:t>
          </w:r>
        </w:sdtContent>
      </w:sdt>
    </w:p>
    <w:p w:rsidR="00000000" w:rsidDel="00000000" w:rsidP="00000000" w:rsidRDefault="00000000" w:rsidRPr="00000000" w14:paraId="00000096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-1675284437"/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Тізбенің 5-тармағы ҚР ҰКП </w:t>
          </w:r>
        </w:sdtContent>
      </w:sdt>
      <w:hyperlink r:id="rId19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Президиумының 14.08.2025ж №8</w:t>
        </w:r>
      </w:hyperlink>
      <w:sdt>
        <w:sdtPr>
          <w:id w:val="589090873"/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шешіміне сәйкес жаңа редакцияда баяндалды.</w:t>
          </w:r>
        </w:sdtContent>
      </w:sdt>
    </w:p>
    <w:p w:rsidR="00000000" w:rsidDel="00000000" w:rsidP="00000000" w:rsidRDefault="00000000" w:rsidRPr="00000000" w14:paraId="00000097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280" w:before="28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772432460"/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Тізбе ҚР ҰКП </w:t>
          </w:r>
        </w:sdtContent>
      </w:sdt>
      <w:hyperlink r:id="rId20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Президиумының 27.03.2025ж. шешіміне сәйкес</w:t>
        </w:r>
      </w:hyperlink>
      <w:sdt>
        <w:sdtPr>
          <w:id w:val="1370576416"/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26-тармақпен толықтырылды (№2 хаттама).</w:t>
          </w:r>
        </w:sdtContent>
      </w:sdt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hyperlink r:id="rId21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№1 қосымша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840988512"/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ҚР ҰКП</w:t>
          </w:r>
        </w:sdtContent>
      </w:sdt>
      <w:hyperlink r:id="rId22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 Президиумының 19.09.2024 ж.  шешіміне сәйкес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 </w:t>
      </w:r>
      <w:sdt>
        <w:sdtPr>
          <w:id w:val="851557758"/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қосылды (№12 хаттама).</w:t>
          </w:r>
        </w:sdtContent>
      </w:sdt>
    </w:p>
    <w:p w:rsidR="00000000" w:rsidDel="00000000" w:rsidP="00000000" w:rsidRDefault="00000000" w:rsidRPr="00000000" w14:paraId="0000009B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hyperlink r:id="rId23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№2 қосымша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sdt>
        <w:sdtPr>
          <w:id w:val="-794132524"/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 ҚР ҰКП </w:t>
          </w:r>
        </w:sdtContent>
      </w:sdt>
      <w:hyperlink r:id="rId24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1"/>
            <w:szCs w:val="21"/>
            <w:rtl w:val="0"/>
          </w:rPr>
          <w:t xml:space="preserve">Президиумының  19.09.2024 ж. шешіміне сәйкес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1"/>
          <w:szCs w:val="21"/>
          <w:rtl w:val="0"/>
        </w:rPr>
        <w:t xml:space="preserve"> </w:t>
      </w:r>
      <w:sdt>
        <w:sdtPr>
          <w:id w:val="27901093"/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color w:val="333333"/>
              <w:sz w:val="21"/>
              <w:szCs w:val="21"/>
              <w:rtl w:val="0"/>
            </w:rPr>
            <w:t xml:space="preserve">қосылды (№2 хаттама).</w:t>
          </w:r>
        </w:sdtContent>
      </w:sdt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9f9f9" w:val="clear"/>
        <w:spacing w:after="0" w:line="240" w:lineRule="auto"/>
        <w:rPr>
          <w:rFonts w:ascii="Quattrocento Sans" w:cs="Quattrocento Sans" w:eastAsia="Quattrocento Sans" w:hAnsi="Quattrocento Sans"/>
          <w:color w:val="333333"/>
          <w:sz w:val="21"/>
          <w:szCs w:val="21"/>
        </w:rPr>
      </w:pPr>
      <w:hyperlink r:id="rId25">
        <w:r w:rsidDel="00000000" w:rsidR="00000000" w:rsidRPr="00000000">
          <w:rPr>
            <w:rFonts w:ascii="Quattrocento Sans" w:cs="Quattrocento Sans" w:eastAsia="Quattrocento Sans" w:hAnsi="Quattrocento Sans"/>
            <w:color w:val="2067b0"/>
            <w:sz w:val="21"/>
            <w:szCs w:val="21"/>
            <w:rtl w:val="0"/>
          </w:rPr>
          <w:t xml:space="preserve">Санаттар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426897"/>
    <w:rPr>
      <w:color w:val="0000ff"/>
      <w:u w:val="single"/>
    </w:rPr>
  </w:style>
  <w:style w:type="paragraph" w:styleId="a4">
    <w:name w:val="Normal (Web)"/>
    <w:basedOn w:val="a"/>
    <w:uiPriority w:val="99"/>
    <w:semiHidden w:val="1"/>
    <w:unhideWhenUsed w:val="1"/>
    <w:rsid w:val="0042689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24.atameken.kz/~vL59B" TargetMode="External"/><Relationship Id="rId22" Type="http://schemas.openxmlformats.org/officeDocument/2006/relationships/hyperlink" Target="https://24.atameken.kz/~CaLhH" TargetMode="External"/><Relationship Id="rId21" Type="http://schemas.openxmlformats.org/officeDocument/2006/relationships/hyperlink" Target="https://24.atameken.kz/~ILrhH" TargetMode="External"/><Relationship Id="rId24" Type="http://schemas.openxmlformats.org/officeDocument/2006/relationships/hyperlink" Target="https://24.atameken.kz/~vL59B" TargetMode="External"/><Relationship Id="rId23" Type="http://schemas.openxmlformats.org/officeDocument/2006/relationships/hyperlink" Target="https://24.atameken.kz/~XjIg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24.atameken.kz/~CaLhH" TargetMode="External"/><Relationship Id="rId25" Type="http://schemas.openxmlformats.org/officeDocument/2006/relationships/hyperlink" Target="https://24.atameken.kz/stream/vnd.php?oper=categori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24.atameken.kz/~16YWQ" TargetMode="External"/><Relationship Id="rId8" Type="http://schemas.openxmlformats.org/officeDocument/2006/relationships/hyperlink" Target="https://online.zakon.kz/Document/?doc_id=35110250#pos=3;-155" TargetMode="External"/><Relationship Id="rId11" Type="http://schemas.openxmlformats.org/officeDocument/2006/relationships/hyperlink" Target="https://24.atameken.kz/~CaLhH" TargetMode="External"/><Relationship Id="rId10" Type="http://schemas.openxmlformats.org/officeDocument/2006/relationships/hyperlink" Target="https://24.atameken.kz/~CaLhH" TargetMode="External"/><Relationship Id="rId13" Type="http://schemas.openxmlformats.org/officeDocument/2006/relationships/hyperlink" Target="https://24.atameken.kz/~35uPf" TargetMode="External"/><Relationship Id="rId12" Type="http://schemas.openxmlformats.org/officeDocument/2006/relationships/hyperlink" Target="https://24.atameken.kz/~7m2zA" TargetMode="External"/><Relationship Id="rId15" Type="http://schemas.openxmlformats.org/officeDocument/2006/relationships/hyperlink" Target="https://24.atameken.kz/~DP9Hx" TargetMode="External"/><Relationship Id="rId14" Type="http://schemas.openxmlformats.org/officeDocument/2006/relationships/hyperlink" Target="https://24.atameken.kz/docs/pub/4203015327499d3b9fc6dbab3e135aa2/default/?&amp;" TargetMode="External"/><Relationship Id="rId17" Type="http://schemas.openxmlformats.org/officeDocument/2006/relationships/hyperlink" Target="https://24.atameken.kz/~m4vSP" TargetMode="External"/><Relationship Id="rId16" Type="http://schemas.openxmlformats.org/officeDocument/2006/relationships/hyperlink" Target="https://24.atameken.kz/~yUSue" TargetMode="External"/><Relationship Id="rId19" Type="http://schemas.openxmlformats.org/officeDocument/2006/relationships/hyperlink" Target="https://24.atameken.kz/~S9rSS" TargetMode="External"/><Relationship Id="rId18" Type="http://schemas.openxmlformats.org/officeDocument/2006/relationships/hyperlink" Target="https://24.atameken.kz/~m4vS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J6/uo6sYcor118vJglaPU3y5g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OAByITFXZGE4emZQeDh2N0JJampadjJ2REFHSFh1NDAzSXB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2025-08-20T05:49:00Z</dcterms:created>
  <dc:creator>Айнабекова Айгерим Мурсаловна</dc:creator>
</cp:coreProperties>
</file>