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97" w:rsidRDefault="00426897" w:rsidP="00426897">
      <w:pPr>
        <w:spacing w:after="0" w:line="240" w:lineRule="auto"/>
        <w:ind w:firstLine="5812"/>
        <w:jc w:val="center"/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  <w:t>Утвержден решением</w:t>
      </w:r>
    </w:p>
    <w:p w:rsidR="00426897" w:rsidRDefault="00426897" w:rsidP="00426897">
      <w:pPr>
        <w:spacing w:after="0" w:line="240" w:lineRule="auto"/>
        <w:ind w:firstLine="5812"/>
        <w:jc w:val="center"/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426897"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  <w:t>Президиума Национальной палаты</w:t>
      </w:r>
    </w:p>
    <w:p w:rsidR="00426897" w:rsidRDefault="00426897" w:rsidP="00426897">
      <w:pPr>
        <w:spacing w:after="0" w:line="240" w:lineRule="auto"/>
        <w:ind w:firstLine="5812"/>
        <w:jc w:val="center"/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426897"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  <w:t>предпринимателей Республики</w:t>
      </w:r>
    </w:p>
    <w:p w:rsidR="00426897" w:rsidRPr="00426897" w:rsidRDefault="00426897" w:rsidP="00426897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97"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  <w:t>Казахстан «Атамекен»</w:t>
      </w:r>
    </w:p>
    <w:p w:rsidR="00426897" w:rsidRPr="00426897" w:rsidRDefault="00E64D83" w:rsidP="00426897">
      <w:pPr>
        <w:shd w:val="clear" w:color="auto" w:fill="FFFFFF"/>
        <w:spacing w:after="0" w:line="240" w:lineRule="auto"/>
        <w:ind w:firstLine="5812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hyperlink r:id="rId4" w:tgtFrame="_blank" w:history="1">
        <w:r w:rsidR="00426897"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 18 от «30» сентября 2016 года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ПЕРЕЧЕНЬ И СТОИМОСТЬ ПЛАТНЫХ УСЛУГ, ОКАЗЫВАЕМЫХ НАЦИОНАЛЬНОЙ ПАЛАТЫ ПРЕДПРИНИМАТЕЛЕЙ РЕСПУБЛИКИ КАЗАХСТАН «АТАМЕКЕН» (БЕЗ УЧЕТА НДС)</w:t>
      </w:r>
    </w:p>
    <w:p w:rsidR="00426897" w:rsidRPr="00426897" w:rsidRDefault="00426897" w:rsidP="00426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97">
        <w:rPr>
          <w:rFonts w:ascii="Segoe UI" w:eastAsia="Times New Roman" w:hAnsi="Segoe UI" w:cs="Segoe UI"/>
          <w:i/>
          <w:iCs/>
          <w:color w:val="333333"/>
          <w:sz w:val="21"/>
          <w:szCs w:val="21"/>
          <w:shd w:val="clear" w:color="auto" w:fill="FFFFFF"/>
          <w:lang w:eastAsia="ru-RU"/>
        </w:rPr>
        <w:br/>
      </w:r>
      <w:r w:rsidRPr="00426897">
        <w:rPr>
          <w:rFonts w:ascii="Segoe UI" w:eastAsia="Times New Roman" w:hAnsi="Segoe UI" w:cs="Segoe UI"/>
          <w:i/>
          <w:iCs/>
          <w:color w:val="FF0000"/>
          <w:sz w:val="21"/>
          <w:szCs w:val="21"/>
          <w:shd w:val="clear" w:color="auto" w:fill="FFFFFF"/>
          <w:lang w:eastAsia="ru-RU"/>
        </w:rPr>
        <w:t>с изменениями и дополнениями по состоянию на 14.08.2025 г.</w:t>
      </w:r>
    </w:p>
    <w:tbl>
      <w:tblPr>
        <w:tblW w:w="0" w:type="auto"/>
        <w:tblBorders>
          <w:top w:val="single" w:sz="6" w:space="0" w:color="B6B6B8"/>
          <w:left w:val="single" w:sz="6" w:space="0" w:color="B6B6B8"/>
          <w:bottom w:val="single" w:sz="6" w:space="0" w:color="B6B6B8"/>
          <w:right w:val="single" w:sz="6" w:space="0" w:color="B6B6B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714"/>
        <w:gridCol w:w="1829"/>
        <w:gridCol w:w="3404"/>
      </w:tblGrid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платных услуг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 услуги (юридическое лицо, входящее в систему НПП)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услуг</w:t>
            </w:r>
          </w:p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* размер дисконта определяется решением исполнительного органа юридического лица, входящего в систему НПП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споров в </w:t>
            </w:r>
            <w:hyperlink r:id="rId5" w:anchor="pos=3;-155" w:tgtFrame="_blank" w:history="1">
              <w:r w:rsidRPr="00426897">
                <w:rPr>
                  <w:rFonts w:ascii="Times New Roman" w:eastAsia="Times New Roman" w:hAnsi="Times New Roman" w:cs="Times New Roman"/>
                  <w:color w:val="2067B0"/>
                  <w:sz w:val="24"/>
                  <w:szCs w:val="24"/>
                  <w:lang w:eastAsia="ru-RU"/>
                </w:rPr>
                <w:t>арбитраже</w:t>
              </w:r>
            </w:hyperlink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соответствии с законодательными актами Республики Казахстан.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«Арбитражный центр Атамекен»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решением Управляющего совета ЧУ «Арбитражный центр Атамекен»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с базы данных товаров, работ, услуг и их поставщиков.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«ЦМЭР»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подписке - 5 МРП/мес.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торгово-экономической миссии с выездом из РК.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 3 изменен в соответствии с </w:t>
            </w:r>
            <w:hyperlink r:id="rId6" w:history="1">
              <w:r w:rsidRPr="00426897">
                <w:rPr>
                  <w:rFonts w:ascii="Times New Roman" w:eastAsia="Times New Roman" w:hAnsi="Times New Roman" w:cs="Times New Roman"/>
                  <w:color w:val="2067B0"/>
                  <w:sz w:val="24"/>
                  <w:szCs w:val="24"/>
                  <w:lang w:eastAsia="ru-RU"/>
                </w:rPr>
                <w:t>решением Президиума НПП РК от 19.09.2024 г. (протокол №12)</w:t>
              </w:r>
            </w:hyperlink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 МРП (дисконт до 50%* для субъектов, не имеющих задолженность по оплате ОЧВ, или субъектов, указанных в подпункте 1) пункта 2 статьи 29 Закона «О Национальной палате предпринимателей РК «Атамекен» (далее- Закон). Стоимость услуг не включает расходы за рубежом.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информационных, переводческих и консалтинговых услуг по вопросам внешнеэкономической деятельности.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1.Переводческие услуги: - 3 МРП за 1 стр. документа Microsoft Word формата А4, шрифт не менее 14 Times New Roman / за 1 слайд Power Point; 2.Услуга визовой поддержки за одного человека: - для резидентов РК 8 МРП (дисконт 50% для субъектов, не имеющих задолженность по оплате ОЧВ, субъектов, указанных в подпункте 1) пункта 2 статьи 29 Закона); - 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нерезидентов РК 15 МРП. Стоимость услуг не включает оплату визовых сборов/консульских расходов за выдачу виз. 3. Предоставление информации о зарубежной компании - 17 МРП (дисконт 50%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67B0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Свидетельствование обстоятельств непреодолимой силы в соответствии с условиями внешнеторговых сделок и международных договоров Республики Казахстан, а также торговых и портовых обычаев, признанных в Республике Казахстан.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 5 изменен в соответствии с</w:t>
            </w:r>
            <w:hyperlink r:id="rId7" w:history="1">
              <w:r w:rsidRPr="00426897">
                <w:rPr>
                  <w:rFonts w:ascii="Times New Roman" w:eastAsia="Times New Roman" w:hAnsi="Times New Roman" w:cs="Times New Roman"/>
                  <w:color w:val="2067B0"/>
                  <w:sz w:val="24"/>
                  <w:szCs w:val="24"/>
                  <w:lang w:eastAsia="ru-RU"/>
                </w:rPr>
                <w:t> решением Президиума НПП РК от 19.09.2024 г. (протокол №12)</w:t>
              </w:r>
            </w:hyperlink>
          </w:p>
          <w:p w:rsidR="00E64D83" w:rsidRPr="00426897" w:rsidRDefault="00E64D83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5 изменен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Президиума НПП РК от 14.08.2025</w:t>
            </w:r>
            <w:r w:rsidRPr="00E6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(протокол №8</w:t>
            </w:r>
            <w:bookmarkStart w:id="0" w:name="_GoBack"/>
            <w:bookmarkEnd w:id="0"/>
            <w:r w:rsidRPr="00E6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 правовой анализ документов 15 МРП;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 свидетельствование обстоятельств непреодолимой силы (форс-мажор) и обстоятельств «Hardship»: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при сумме просроченного обязательства до 100 000 тенге включительно - стоимость за свидетельствование входит в стоимость правового анализа;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при сумме просроченного обязательства свыше 100 000 тенге - 1% от суммы просроченного (неисполненного) обязательства по договору (контракту).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Правовой анализ документов и свидетельствование обстоятельств непреодолимой силы (форс-мажор) и обстоятельств «Hardship» по заявлениям обществ людей с ограниченными возможностями, некоммерческих организаций учрежденных для обеспечения прав и законных интересов детей-воспитанников осуществляется на безвозмездной основе.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гарантом и выдача документов о временном ввозе в соответствии с международными обязательствами Республики Казахстан.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Пункт 6 изменен в соответствии 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hyperlink r:id="rId8" w:history="1">
              <w:r w:rsidRPr="00426897">
                <w:rPr>
                  <w:rFonts w:ascii="Times New Roman" w:eastAsia="Times New Roman" w:hAnsi="Times New Roman" w:cs="Times New Roman"/>
                  <w:color w:val="2067B0"/>
                  <w:sz w:val="24"/>
                  <w:szCs w:val="24"/>
                  <w:lang w:eastAsia="ru-RU"/>
                </w:rPr>
                <w:t> решением Президиума НПП РК от 19.09.2024 г. (протокол №12)</w:t>
              </w:r>
            </w:hyperlink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МРП за один сертификат о временном ввозе.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Патронаж мероприятия.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МРП за патронаж одного мероприятия.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семинаров, конференций, круглых столов.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МРП за организацию семинара либо конференции, либо круглого стола (дисконт до 50%* для субъектов, не имеющих задолженность по оплате ОЧВ, субъектов, указанных в подпункте 1) пункта 2 статьи 29 Закона). Стоимость услуг не включает расходов по аренде помещений.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казахстанских предприятий.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МРП за организацию посещения одного казахстанского предприятия. Стоимость услуг не включает расходов по найму транспорта и проживания.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Маркетинговые услуги по изучению рынка и популяризации продукта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МРП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экспертиза документов, а также составление договоров, дополнительных соглашений к договорам, протоколов разногласий.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15 МРП за юридическую экспертизу одного документа (дисконт до 50%* для субъектов, не имеющих задолженность по оплате ОЧВ, субъектов, указанных в подпункте 1) пункта 2 статьи 29 Закона); 2. 15 МРП за составление одного договора/дополнительного соглашения/протокола разногласий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для регистрации/перерегистрации юридического лица, индивидуального предпринимателя.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МРП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регистрации товарных знаков.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МРП за регистрацию одного товарного знака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нормативных актов и типовых (внутренних) документов организации.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МРП за один документ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об условиях ввоза и вывоза конкретного товара (по коду ТН ВЭД).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МРП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консультационных услуг по определению кода товара по ТН ВЭД и таможенной стоимости товара.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МРП за один продукт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сопровождение деятельности участника внешнеэкономической деятельности по услугам определения кода товара по ТН ВЭД и таможенной стоимости товара в случае необходимости и обращения участника внешнеэкономической деятельности за защитой в суд.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оспариваемой в суде суммы, но не менее 121 МРП.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поручительства в качестве обеспечения уплаты таможенных пошлин, налогов.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МРП.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по предложениям участников внешнеэкономической деятельности по пересмотру ставок таможенных пошлин.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«ВПК»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МРП (дисконт до 50%* для субъектов, не имеющих задолженность по оплате ОЧВ, субъектов, указанных в подпункте 1) пункта 2 статьи 29 Закона).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торгово-экономической миссии в 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Казахстан для иностранных предпринимателей.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сборы за одно предприятие: - 30 МРП для иностранных 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предпринимателей из стран-членов ОЭСР; - 15 МРП для иностранных предпринимателей не из стран-членов ОЭСР.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субъектов предпринимательства, участников внешнеэкономической деятельности, финансово-экономическое положение которых позволяет определить уровень их надежности как партнеров для предпринимательской деятельности, составленный по согласованию с указанными лицами.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РПП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20 МРП (дисконт 50% для субъектов, не имеющих задолженность по оплате ОЧВ, субъектов, указанных в подпункте 1) пункта 2 статьи 29 Закона) – внесение в реестр;</w:t>
            </w:r>
          </w:p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15 МРП (дисконт 50% для субъектов, не имеющих задолженность по оплате ОЧВ, субъектов, указанных в подпункте 1) пункта 2 статьи 29 Закона) – ведение реестра (ежегодно).</w:t>
            </w:r>
          </w:p>
        </w:tc>
      </w:tr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сертификата о происхождении товара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РПП</w:t>
            </w:r>
          </w:p>
        </w:tc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МРП.</w:t>
            </w:r>
          </w:p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заверение и копирование сертификатов о происхождении товаров:</w:t>
            </w:r>
          </w:p>
          <w:p w:rsidR="00426897" w:rsidRPr="00426897" w:rsidRDefault="00426897" w:rsidP="0042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тенге за копию и заверение одной страницы сертификата о происхождении товара.</w:t>
            </w:r>
          </w:p>
        </w:tc>
      </w:tr>
    </w:tbl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B6B6B8"/>
          <w:left w:val="single" w:sz="6" w:space="0" w:color="B6B6B8"/>
          <w:bottom w:val="single" w:sz="6" w:space="0" w:color="B6B6B8"/>
          <w:right w:val="single" w:sz="6" w:space="0" w:color="B6B6B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713"/>
        <w:gridCol w:w="1843"/>
        <w:gridCol w:w="3393"/>
      </w:tblGrid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 основам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предпринимательства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проекту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"Бастау Бизнес"</w:t>
            </w:r>
          </w:p>
        </w:tc>
        <w:tc>
          <w:tcPr>
            <w:tcW w:w="184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НПП,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РПП</w:t>
            </w:r>
          </w:p>
        </w:tc>
        <w:tc>
          <w:tcPr>
            <w:tcW w:w="339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содержание 1-го слушателя проекта (при обучении не менее 30 000 слушателей):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 дистанционном обучении - в размере 52 510 тенге;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 очном обучении - в размере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76 537 тенге</w:t>
            </w:r>
          </w:p>
        </w:tc>
      </w:tr>
    </w:tbl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333333"/>
          <w:sz w:val="21"/>
          <w:szCs w:val="21"/>
          <w:lang w:eastAsia="ru-RU"/>
        </w:rPr>
      </w:pPr>
    </w:p>
    <w:tbl>
      <w:tblPr>
        <w:tblW w:w="9348" w:type="dxa"/>
        <w:tblBorders>
          <w:top w:val="single" w:sz="6" w:space="0" w:color="B6B6B8"/>
          <w:left w:val="single" w:sz="6" w:space="0" w:color="B6B6B8"/>
          <w:bottom w:val="single" w:sz="6" w:space="0" w:color="B6B6B8"/>
          <w:right w:val="single" w:sz="6" w:space="0" w:color="B6B6B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713"/>
        <w:gridCol w:w="1840"/>
        <w:gridCol w:w="3405"/>
      </w:tblGrid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экспортеров в информационных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системах стран ввоза товара или внесение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изменений в регистрационные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данные экспортеров (в части перечня товаров)</w:t>
            </w:r>
          </w:p>
        </w:tc>
        <w:tc>
          <w:tcPr>
            <w:tcW w:w="1840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РПП</w:t>
            </w:r>
          </w:p>
        </w:tc>
        <w:tc>
          <w:tcPr>
            <w:tcW w:w="3405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МРП</w:t>
            </w:r>
          </w:p>
        </w:tc>
      </w:tr>
    </w:tbl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B6B6B8"/>
          <w:left w:val="single" w:sz="6" w:space="0" w:color="B6B6B8"/>
          <w:bottom w:val="single" w:sz="6" w:space="0" w:color="B6B6B8"/>
          <w:right w:val="single" w:sz="6" w:space="0" w:color="B6B6B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713"/>
        <w:gridCol w:w="1843"/>
        <w:gridCol w:w="3393"/>
      </w:tblGrid>
      <w:tr w:rsidR="00426897" w:rsidRPr="00426897" w:rsidTr="00426897">
        <w:tc>
          <w:tcPr>
            <w:tcW w:w="0" w:type="auto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на базе реестра бизнес-партнеров и порядок их предоставления отечественным и зарубежным субъектам предпринимательства, государственным органам и иным лицам</w:t>
            </w:r>
          </w:p>
        </w:tc>
        <w:tc>
          <w:tcPr>
            <w:tcW w:w="184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НПП</w:t>
            </w:r>
          </w:p>
        </w:tc>
        <w:tc>
          <w:tcPr>
            <w:tcW w:w="339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Расширенный Отчет KYC (Know Your Customer) для авторизованных пользователей – Стоимость 300 тенге на пилотный период до 31.05.2022. С 01.06.2022 – 1000 тенге. Комиссионное 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вознаграждение для трансферагентов до 20% 2) Расширенный Отчет KYC (Know Your Customer) PRO для авторизованных пользователей – Стоимость 500 тенге на пилотный период до 31.05.2022. С 01.06.2022 – 1500 тенге. Комиссионное вознаграждение для трансферагентов до 20% 3) ИДН API (Индекс добросовестности налогоплательщика) – стоимость 300 тенге (</w:t>
            </w:r>
            <w:r w:rsidRPr="0042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договор)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стоимость 10 тенге (</w:t>
            </w:r>
            <w:r w:rsidRPr="0042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транзакция)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Комиссионное вознаграждение для трансферагентов до 20% 4) Индекс финансовой устойчивости – 500 тенге Комиссионное вознаграждение для трансферагентов до 20% 5) Индекс платежной дисциплины – 500 тенге Комиссионное вознаграждение для трансферагентов до 20% 6) Индекс деловой репутации – 500 тенге Комиссионное вознаграждение для трансферагентов до 20% 7) Сводный скоринговый индекс Atameken Business Information Services ABIS – 1000 тенге. Комиссионное вознаграждение для трансферагентов до 20%</w:t>
            </w:r>
          </w:p>
        </w:tc>
      </w:tr>
    </w:tbl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B6B6B8"/>
          <w:left w:val="single" w:sz="6" w:space="0" w:color="B6B6B8"/>
          <w:bottom w:val="single" w:sz="6" w:space="0" w:color="B6B6B8"/>
          <w:right w:val="single" w:sz="6" w:space="0" w:color="B6B6B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685"/>
        <w:gridCol w:w="1843"/>
        <w:gridCol w:w="3393"/>
      </w:tblGrid>
      <w:tr w:rsidR="00426897" w:rsidRPr="00426897" w:rsidTr="00426897">
        <w:tc>
          <w:tcPr>
            <w:tcW w:w="418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стоимость платных услуг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оказываемых Палатами предпринимателей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Астаны, Шымкента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Акмолинской, Восточно-        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Казахстанской и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Карагандинской областей в рамках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пилотного проекта  по</w:t>
            </w: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«Частичной коммерциализации услуг»         </w:t>
            </w:r>
          </w:p>
        </w:tc>
        <w:tc>
          <w:tcPr>
            <w:tcW w:w="184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РПП</w:t>
            </w:r>
          </w:p>
        </w:tc>
        <w:tc>
          <w:tcPr>
            <w:tcW w:w="3393" w:type="dxa"/>
            <w:tcBorders>
              <w:top w:val="single" w:sz="6" w:space="0" w:color="B6B6B8"/>
              <w:left w:val="single" w:sz="6" w:space="0" w:color="B6B6B8"/>
              <w:bottom w:val="single" w:sz="6" w:space="0" w:color="B6B6B8"/>
              <w:right w:val="single" w:sz="6" w:space="0" w:color="B6B6B8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6897" w:rsidRPr="00426897" w:rsidRDefault="00426897" w:rsidP="0042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 2 к Перечню и стоимости платных услуг,оказываемых Национальной палатой предпринимателей Республики Казахстан «Атамекен» (без учета НДС)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Пункт 22 Перечня изложен в соответствии с решением Президиума НПП РК </w:t>
      </w:r>
      <w:hyperlink r:id="rId9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№27 от 11.12.2019 г.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Пункт 23 Перечня дополнен в соответствии с решением Президиума НПП РК</w:t>
      </w:r>
      <w:hyperlink r:id="rId10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 №2 от 02.03.2021 г.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Пункт 24 Перечня дополнен в соответствии с решением Президиума НПП РК </w:t>
      </w:r>
      <w:hyperlink r:id="rId11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 4 </w:t>
        </w:r>
      </w:hyperlink>
      <w:hyperlink r:id="rId12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от 27.04.2021 года</w:t>
        </w:r>
      </w:hyperlink>
      <w:hyperlink r:id="rId13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Пункт 25 Перечня дополнен в соответствии с решением Президиума НПП РК </w:t>
      </w:r>
      <w:hyperlink r:id="rId14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 7 </w:t>
        </w:r>
      </w:hyperlink>
      <w:hyperlink r:id="rId15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от 09.03.2022 года.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Наименование перечня изложено в соответствии с решением Президиума НПП РК </w:t>
      </w:r>
      <w:hyperlink r:id="rId16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№4 от 19.03.2018 г.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Пункт 22 Перечня изложен в соответствии с решением Президиума НПП РК </w:t>
      </w:r>
      <w:hyperlink r:id="rId17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 9 от 07.08.2023 г.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Пункт 24 Перечня изложен в соответствии с решением Президиума НПП РК </w:t>
      </w:r>
      <w:hyperlink r:id="rId18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№ 9 от 07.08.2023 г.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Пункт 5 Перечня изложен в соответствии </w:t>
      </w:r>
      <w:hyperlink r:id="rId19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с решением Президиума НПП РК № 8 от 14.08.2025 г.</w:t>
        </w:r>
      </w:hyperlink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426897" w:rsidRPr="00426897" w:rsidRDefault="00426897" w:rsidP="0042689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Перечень дополнен пунктом 26 в соответствии </w:t>
      </w:r>
      <w:hyperlink r:id="rId20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с решением Президиума НПП РК от 27.03.2025 г. Протокол № 2</w:t>
        </w:r>
      </w:hyperlink>
    </w:p>
    <w:p w:rsidR="00426897" w:rsidRPr="00426897" w:rsidRDefault="00E64D83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hyperlink r:id="rId21" w:history="1">
        <w:r w:rsidR="00426897"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Приложение №1 </w:t>
        </w:r>
      </w:hyperlink>
    </w:p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добавлено в соответствии с </w:t>
      </w:r>
      <w:hyperlink r:id="rId22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решением Президиума НПП РК от 19.09.2024 г. (протокол №12)</w:t>
        </w:r>
      </w:hyperlink>
    </w:p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426897" w:rsidRPr="00426897" w:rsidRDefault="00E64D83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hyperlink r:id="rId23" w:tgtFrame="_blank" w:history="1">
        <w:r w:rsidR="00426897"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Приложение № 2</w:t>
        </w:r>
      </w:hyperlink>
    </w:p>
    <w:p w:rsidR="00426897" w:rsidRPr="00426897" w:rsidRDefault="00426897" w:rsidP="004268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2689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добавлено в соответствии </w:t>
      </w:r>
      <w:hyperlink r:id="rId24" w:tgtFrame="_blank" w:history="1">
        <w:r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с решением Президиума НПП РК от 19.09.2024 г. Протокол № 2</w:t>
        </w:r>
      </w:hyperlink>
    </w:p>
    <w:p w:rsidR="00426897" w:rsidRPr="00426897" w:rsidRDefault="00426897" w:rsidP="0042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897" w:rsidRPr="00426897" w:rsidRDefault="00E64D83" w:rsidP="00426897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hyperlink r:id="rId25" w:tooltip="Список всех категорий" w:history="1">
        <w:r w:rsidR="00426897" w:rsidRPr="00426897">
          <w:rPr>
            <w:rFonts w:ascii="Segoe UI" w:eastAsia="Times New Roman" w:hAnsi="Segoe UI" w:cs="Segoe UI"/>
            <w:color w:val="2067B0"/>
            <w:sz w:val="21"/>
            <w:szCs w:val="21"/>
            <w:lang w:eastAsia="ru-RU"/>
          </w:rPr>
          <w:t>Категории</w:t>
        </w:r>
      </w:hyperlink>
    </w:p>
    <w:p w:rsidR="003470CE" w:rsidRDefault="003470CE"/>
    <w:sectPr w:rsidR="0034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18"/>
    <w:rsid w:val="003470CE"/>
    <w:rsid w:val="00426897"/>
    <w:rsid w:val="00446A19"/>
    <w:rsid w:val="00B50818"/>
    <w:rsid w:val="00E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FBF23-4319-458F-8DA3-3C2A3F6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8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1774">
          <w:marLeft w:val="0"/>
          <w:marRight w:val="0"/>
          <w:marTop w:val="150"/>
          <w:marBottom w:val="0"/>
          <w:divBdr>
            <w:top w:val="single" w:sz="6" w:space="2" w:color="AAAAAA"/>
            <w:left w:val="single" w:sz="6" w:space="8" w:color="AAAAAA"/>
            <w:bottom w:val="single" w:sz="6" w:space="2" w:color="AAAAAA"/>
            <w:right w:val="single" w:sz="6" w:space="8" w:color="AAAAAA"/>
          </w:divBdr>
          <w:divsChild>
            <w:div w:id="20489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.atameken.kz/~CaLhH" TargetMode="External"/><Relationship Id="rId13" Type="http://schemas.openxmlformats.org/officeDocument/2006/relationships/hyperlink" Target="https://24.atameken.kz/~" TargetMode="External"/><Relationship Id="rId18" Type="http://schemas.openxmlformats.org/officeDocument/2006/relationships/hyperlink" Target="https://24.atameken.kz/~m4vS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24.atameken.kz/~ILrhH" TargetMode="External"/><Relationship Id="rId7" Type="http://schemas.openxmlformats.org/officeDocument/2006/relationships/hyperlink" Target="https://24.atameken.kz/~CaLhH" TargetMode="External"/><Relationship Id="rId12" Type="http://schemas.openxmlformats.org/officeDocument/2006/relationships/hyperlink" Target="https://24.atameken.kz/~rc63Z" TargetMode="External"/><Relationship Id="rId17" Type="http://schemas.openxmlformats.org/officeDocument/2006/relationships/hyperlink" Target="https://24.atameken.kz/~m4vSP" TargetMode="External"/><Relationship Id="rId25" Type="http://schemas.openxmlformats.org/officeDocument/2006/relationships/hyperlink" Target="https://24.atameken.kz/stream/vnd.php?oper=categori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24.atameken.kz/~yUSue" TargetMode="External"/><Relationship Id="rId20" Type="http://schemas.openxmlformats.org/officeDocument/2006/relationships/hyperlink" Target="https://24.atameken.kz/~vL59B" TargetMode="External"/><Relationship Id="rId1" Type="http://schemas.openxmlformats.org/officeDocument/2006/relationships/styles" Target="styles.xml"/><Relationship Id="rId6" Type="http://schemas.openxmlformats.org/officeDocument/2006/relationships/hyperlink" Target="https://24.atameken.kz/~CaLhH" TargetMode="External"/><Relationship Id="rId11" Type="http://schemas.openxmlformats.org/officeDocument/2006/relationships/hyperlink" Target="https://24.atameken.kz/~rc63Z" TargetMode="External"/><Relationship Id="rId24" Type="http://schemas.openxmlformats.org/officeDocument/2006/relationships/hyperlink" Target="https://24.atameken.kz/~vL59B" TargetMode="External"/><Relationship Id="rId5" Type="http://schemas.openxmlformats.org/officeDocument/2006/relationships/hyperlink" Target="https://online.zakon.kz/Document/?doc_id=35110250" TargetMode="External"/><Relationship Id="rId15" Type="http://schemas.openxmlformats.org/officeDocument/2006/relationships/hyperlink" Target="https://24.atameken.kz/~DP9Hx" TargetMode="External"/><Relationship Id="rId23" Type="http://schemas.openxmlformats.org/officeDocument/2006/relationships/hyperlink" Target="https://24.atameken.kz/~XjIga" TargetMode="External"/><Relationship Id="rId10" Type="http://schemas.openxmlformats.org/officeDocument/2006/relationships/hyperlink" Target="https://24.atameken.kz/~35uPf" TargetMode="External"/><Relationship Id="rId19" Type="http://schemas.openxmlformats.org/officeDocument/2006/relationships/hyperlink" Target="https://24.atameken.kz/~S9rSS" TargetMode="External"/><Relationship Id="rId4" Type="http://schemas.openxmlformats.org/officeDocument/2006/relationships/hyperlink" Target="https://24.atameken.kz/~16YWQ" TargetMode="External"/><Relationship Id="rId9" Type="http://schemas.openxmlformats.org/officeDocument/2006/relationships/hyperlink" Target="https://24.atameken.kz/~7m2zA" TargetMode="External"/><Relationship Id="rId14" Type="http://schemas.openxmlformats.org/officeDocument/2006/relationships/hyperlink" Target="https://24.atameken.kz/~DP9Hx" TargetMode="External"/><Relationship Id="rId22" Type="http://schemas.openxmlformats.org/officeDocument/2006/relationships/hyperlink" Target="https://24.atameken.kz/~CaLh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Айнабекова Айгерим Мурсаловна</dc:creator>
  <cp:keywords/>
  <dc:description/>
  <cp:lastModifiedBy>Дидархан Құрманғазыұлы</cp:lastModifiedBy>
  <cp:revision>3</cp:revision>
  <dcterms:created xsi:type="dcterms:W3CDTF">2025-08-20T05:49:00Z</dcterms:created>
  <dcterms:modified xsi:type="dcterms:W3CDTF">2025-09-03T12:25:00Z</dcterms:modified>
</cp:coreProperties>
</file>